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35" w:rsidRDefault="00335D35" w:rsidP="00335D35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Government of the Peoples Republic of Bangladesh</w:t>
      </w:r>
    </w:p>
    <w:p w:rsidR="00335D35" w:rsidRDefault="00335D35" w:rsidP="00335D35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Office of the Executive Engineer</w:t>
      </w:r>
    </w:p>
    <w:p w:rsidR="00335D35" w:rsidRDefault="00335D35" w:rsidP="00335D35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Jhalakathi</w:t>
      </w:r>
      <w:proofErr w:type="spellEnd"/>
      <w:r>
        <w:rPr>
          <w:rFonts w:ascii="Times New Roman" w:hAnsi="Times New Roman" w:cs="Times New Roman"/>
          <w:lang w:val="en-GB"/>
        </w:rPr>
        <w:t xml:space="preserve"> PWD Division, </w:t>
      </w:r>
    </w:p>
    <w:p w:rsidR="00335D35" w:rsidRDefault="00335D35" w:rsidP="00335D35">
      <w:pPr>
        <w:spacing w:after="0" w:line="240" w:lineRule="auto"/>
        <w:jc w:val="center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Jhalakathi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:rsidR="00335D35" w:rsidRDefault="00335D35" w:rsidP="00335D35">
      <w:pPr>
        <w:spacing w:after="0" w:line="240" w:lineRule="auto"/>
        <w:jc w:val="center"/>
        <w:rPr>
          <w:rFonts w:ascii="Times New Roman" w:hAnsi="Times New Roman" w:cs="Times New Roman"/>
          <w:sz w:val="4"/>
          <w:lang w:val="en-GB"/>
        </w:rPr>
      </w:pPr>
    </w:p>
    <w:p w:rsidR="00335D35" w:rsidRDefault="00335D35" w:rsidP="0033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GB"/>
        </w:rPr>
        <w:t>Invitation for Tenders</w:t>
      </w:r>
    </w:p>
    <w:p w:rsidR="00335D35" w:rsidRDefault="00335D35" w:rsidP="0033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  <w:lang w:val="en-GB"/>
        </w:rPr>
      </w:pPr>
    </w:p>
    <w:p w:rsidR="00335D35" w:rsidRDefault="00335D35" w:rsidP="00335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IFT No- 03 /2016-2017</w:t>
      </w:r>
    </w:p>
    <w:tbl>
      <w:tblPr>
        <w:tblW w:w="10152" w:type="dxa"/>
        <w:tblLook w:val="01E0" w:firstRow="1" w:lastRow="1" w:firstColumn="1" w:lastColumn="1" w:noHBand="0" w:noVBand="0"/>
      </w:tblPr>
      <w:tblGrid>
        <w:gridCol w:w="7308"/>
        <w:gridCol w:w="900"/>
        <w:gridCol w:w="1944"/>
      </w:tblGrid>
      <w:tr w:rsidR="00335D35" w:rsidTr="00335D35">
        <w:tc>
          <w:tcPr>
            <w:tcW w:w="7308" w:type="dxa"/>
            <w:vMerge w:val="restart"/>
          </w:tcPr>
          <w:p w:rsidR="00335D35" w:rsidRDefault="00335D35">
            <w:pPr>
              <w:tabs>
                <w:tab w:val="left" w:pos="810"/>
                <w:tab w:val="center" w:pos="88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</w:rPr>
            </w:pPr>
          </w:p>
          <w:p w:rsidR="00335D35" w:rsidRDefault="00335D35">
            <w:pPr>
              <w:tabs>
                <w:tab w:val="left" w:pos="810"/>
                <w:tab w:val="center" w:pos="8820"/>
              </w:tabs>
              <w:spacing w:after="0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Memo No-1619</w:t>
            </w:r>
          </w:p>
        </w:tc>
        <w:tc>
          <w:tcPr>
            <w:tcW w:w="900" w:type="dxa"/>
            <w:vMerge w:val="restart"/>
          </w:tcPr>
          <w:p w:rsidR="00335D35" w:rsidRDefault="00335D35">
            <w:pPr>
              <w:tabs>
                <w:tab w:val="left" w:pos="810"/>
                <w:tab w:val="center" w:pos="88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24"/>
              </w:rPr>
            </w:pPr>
          </w:p>
          <w:p w:rsidR="00335D35" w:rsidRDefault="00335D35">
            <w:pPr>
              <w:tabs>
                <w:tab w:val="left" w:pos="810"/>
                <w:tab w:val="center" w:pos="88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Dated: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5D35" w:rsidRDefault="00335D35">
            <w:pPr>
              <w:tabs>
                <w:tab w:val="left" w:pos="810"/>
                <w:tab w:val="center" w:pos="8820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18"/>
              </w:rPr>
              <w:t>24/05/1423 Bang.</w:t>
            </w:r>
          </w:p>
        </w:tc>
      </w:tr>
      <w:tr w:rsidR="00335D35" w:rsidTr="00335D35">
        <w:tc>
          <w:tcPr>
            <w:tcW w:w="0" w:type="auto"/>
            <w:vMerge/>
            <w:vAlign w:val="center"/>
            <w:hideMark/>
          </w:tcPr>
          <w:p w:rsidR="00335D35" w:rsidRDefault="00335D3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35D35" w:rsidRDefault="00335D35">
            <w:pPr>
              <w:spacing w:after="0" w:line="256" w:lineRule="auto"/>
              <w:rPr>
                <w:rFonts w:ascii="Times New Roman" w:hAnsi="Times New Roman"/>
                <w:b/>
                <w:bCs/>
                <w:sz w:val="16"/>
                <w:szCs w:val="24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35D35" w:rsidRDefault="00335D35">
            <w:pPr>
              <w:tabs>
                <w:tab w:val="left" w:pos="810"/>
                <w:tab w:val="center" w:pos="8820"/>
              </w:tabs>
              <w:spacing w:after="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08/09/2016 Eng. </w:t>
            </w:r>
          </w:p>
        </w:tc>
      </w:tr>
    </w:tbl>
    <w:p w:rsidR="00335D35" w:rsidRDefault="00335D35" w:rsidP="00335D35">
      <w:pPr>
        <w:spacing w:after="0" w:line="240" w:lineRule="auto"/>
        <w:rPr>
          <w:rFonts w:ascii="Times New Roman" w:hAnsi="Times New Roman" w:cs="Times New Roman"/>
          <w:b/>
          <w:sz w:val="28"/>
          <w:szCs w:val="20"/>
          <w:vertAlign w:val="superscript"/>
          <w:lang w:val="en-GB"/>
        </w:rPr>
      </w:pPr>
    </w:p>
    <w:tbl>
      <w:tblPr>
        <w:tblStyle w:val="TableGrid"/>
        <w:tblW w:w="1026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57"/>
        <w:gridCol w:w="3601"/>
        <w:gridCol w:w="3744"/>
        <w:gridCol w:w="1208"/>
        <w:gridCol w:w="1150"/>
      </w:tblGrid>
      <w:tr w:rsidR="00335D35" w:rsidTr="00335D35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Ministry/Division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Ministry of Home affairs 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Agency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Works Department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Procuring Entity Name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 Engineer, </w:t>
            </w:r>
            <w:proofErr w:type="spellStart"/>
            <w:r>
              <w:rPr>
                <w:rFonts w:ascii="Times New Roman" w:hAnsi="Times New Roman" w:cs="Times New Roman"/>
              </w:rPr>
              <w:t>Jhalakathi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PWD Division, </w:t>
            </w:r>
            <w:proofErr w:type="spellStart"/>
            <w:r>
              <w:rPr>
                <w:rFonts w:ascii="Times New Roman" w:hAnsi="Times New Roman" w:cs="Times New Roman"/>
              </w:rPr>
              <w:t>Jhalakathi</w:t>
            </w:r>
            <w:proofErr w:type="spellEnd"/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Procuring Entity Code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used at present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Procuring Entity District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Jhalakathi</w:t>
            </w:r>
            <w:proofErr w:type="spellEnd"/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Invitation for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Tender No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 /2016-2017.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Invitation Ref No &amp; Date 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Adl</w:t>
            </w:r>
            <w:proofErr w:type="spellEnd"/>
            <w:r>
              <w:rPr>
                <w:rFonts w:ascii="Times New Roman" w:hAnsi="Times New Roman" w:cs="Times New Roman"/>
              </w:rPr>
              <w:t>. DIG (State) Bangladesh Police, Police Head Quarter, Dhaka</w:t>
            </w:r>
          </w:p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Memo No- 44.01.0000.043.209-2016/7567 Date : 30/07/2016</w:t>
            </w:r>
          </w:p>
        </w:tc>
      </w:tr>
      <w:tr w:rsidR="00335D35" w:rsidTr="00335D35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>KEY INFORMATION</w:t>
            </w:r>
          </w:p>
        </w:tc>
      </w:tr>
      <w:tr w:rsidR="00335D35" w:rsidTr="00335D35">
        <w:trPr>
          <w:trHeight w:val="2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Procurement Method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Open Tendering  Method (OTM)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5D35" w:rsidTr="00335D35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FUNDING INFORMATION</w:t>
            </w:r>
          </w:p>
        </w:tc>
      </w:tr>
      <w:tr w:rsidR="00335D35" w:rsidTr="00335D35">
        <w:trPr>
          <w:trHeight w:val="2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Budget and Source of Funds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of Bangladesh (GOB)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 Partners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335D35" w:rsidTr="00335D35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PARTICULAR INFORMATION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/ Program Code No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/ Program Name 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Construction of 2-storied Women's Barrack (Type-2) with 6-storied foundation in/c. Civil, Sanitary &amp; Electrification works at </w:t>
            </w:r>
            <w:proofErr w:type="spellStart"/>
            <w:r>
              <w:rPr>
                <w:rFonts w:ascii="Times New Roman" w:hAnsi="Times New Roman" w:cs="Times New Roman"/>
              </w:rPr>
              <w:t>Jhalakati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Police Lines, </w:t>
            </w:r>
            <w:proofErr w:type="spellStart"/>
            <w:r>
              <w:rPr>
                <w:rFonts w:ascii="Times New Roman" w:hAnsi="Times New Roman" w:cs="Times New Roman"/>
              </w:rPr>
              <w:t>Jhalakati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Tender Package No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N/A.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Tender Package Name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shown as SL No-26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Tender Publication Date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As Published in the media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Tender Last Selling Date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17/10/2016 during office hour.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Tender Closing Date and Time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18/10/2016   at 12.00 Noon.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Tender Opening Date and Time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18/10/2016   at   3.00 P.M.</w:t>
            </w:r>
          </w:p>
        </w:tc>
      </w:tr>
      <w:tr w:rsidR="00335D35" w:rsidTr="00335D35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&amp; Address of the office(s)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Address :</w:t>
            </w:r>
          </w:p>
        </w:tc>
      </w:tr>
      <w:tr w:rsidR="00335D35" w:rsidTr="00335D35"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Selling Tender Document (Principal)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of the Executive Engineer PWD Division, </w:t>
            </w:r>
            <w:proofErr w:type="spellStart"/>
            <w:r>
              <w:rPr>
                <w:rFonts w:ascii="Times New Roman" w:hAnsi="Times New Roman" w:cs="Times New Roman"/>
              </w:rPr>
              <w:t>Jhalakathi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5D35" w:rsidTr="00335D35"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Selling Tender Document (Others)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Office of the Divisional Commissioner, Barisal.</w:t>
            </w:r>
          </w:p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(ii) Office of the all Executive Engineers under Barisal PWD Zone, Dhaka PWD Division-1, Dhaka, Khulna PWD Division-1, Khulna,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Chittagonj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PWD Division-1 Chittagong,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Rajshahi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PWD Division-1,Rajshahi, Sylhet PWD Division, Sylhet &amp;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Rongpur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PWD Division,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Rongpur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Office of the AIG (Estate) Bangladesh Police, Police Head-Quarter, Dhaka, Office of the DIG Bangladesh Police, Barisal, Office of the Police Super,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Jhalakathi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35D35" w:rsidTr="00335D35"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Receiving Tender Document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 Office of the Superintending Engineer PWD Circle, Barisal.</w:t>
            </w:r>
          </w:p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(ii) Office of the Executive Engineer PWD Division,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Jhalakathi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(iii) Office of the Deputy Commissioner,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Jhalakathi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(iv) Office of the Superintendent of Police,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Jhalakathi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35D35" w:rsidTr="00335D35">
        <w:trPr>
          <w:trHeight w:val="17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Opening Tender Document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Office of the Executive Engineer, PWD Division,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Jhalakathi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35D35" w:rsidTr="00335D3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Place of pre-Tender meeting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:rsidR="00335D35" w:rsidRDefault="00335D35" w:rsidP="00335D35">
      <w:pPr>
        <w:spacing w:line="240" w:lineRule="auto"/>
        <w:rPr>
          <w:rFonts w:ascii="Times New Roman" w:hAnsi="Times New Roman" w:cs="Times New Roman"/>
          <w:sz w:val="28"/>
        </w:rPr>
      </w:pPr>
    </w:p>
    <w:p w:rsidR="00335D35" w:rsidRDefault="00335D35" w:rsidP="00335D35">
      <w:pPr>
        <w:spacing w:line="240" w:lineRule="auto"/>
        <w:rPr>
          <w:rFonts w:ascii="Times New Roman" w:hAnsi="Times New Roman" w:cs="Times New Roman"/>
          <w:sz w:val="12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850"/>
        <w:gridCol w:w="4446"/>
        <w:gridCol w:w="2496"/>
      </w:tblGrid>
      <w:tr w:rsidR="00335D35" w:rsidTr="00335D35">
        <w:tc>
          <w:tcPr>
            <w:tcW w:w="2880" w:type="dxa"/>
          </w:tcPr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Sig. of Tenderer with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Date &amp; Seal.</w:t>
            </w:r>
          </w:p>
        </w:tc>
        <w:tc>
          <w:tcPr>
            <w:tcW w:w="4500" w:type="dxa"/>
            <w:hideMark/>
          </w:tcPr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Sudhir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Chandra Das)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Sub-</w:t>
            </w:r>
            <w:proofErr w:type="spellStart"/>
            <w:r>
              <w:rPr>
                <w:rFonts w:ascii="Times New Roman" w:hAnsi="Times New Roman"/>
                <w:sz w:val="18"/>
              </w:rPr>
              <w:t>Asstt</w:t>
            </w:r>
            <w:proofErr w:type="spellEnd"/>
            <w:r>
              <w:rPr>
                <w:rFonts w:ascii="Times New Roman" w:hAnsi="Times New Roman"/>
                <w:sz w:val="18"/>
              </w:rPr>
              <w:t>, Engineer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Jhalakati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PWD Division, </w:t>
            </w:r>
            <w:proofErr w:type="spellStart"/>
            <w:r>
              <w:rPr>
                <w:rFonts w:ascii="Times New Roman" w:hAnsi="Times New Roman"/>
                <w:sz w:val="18"/>
              </w:rPr>
              <w:t>Jhalakati</w:t>
            </w:r>
            <w:proofErr w:type="spellEnd"/>
          </w:p>
        </w:tc>
        <w:tc>
          <w:tcPr>
            <w:tcW w:w="2520" w:type="dxa"/>
            <w:hideMark/>
          </w:tcPr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(Md. Osman </w:t>
            </w:r>
            <w:proofErr w:type="spellStart"/>
            <w:r>
              <w:rPr>
                <w:rFonts w:ascii="Times New Roman" w:hAnsi="Times New Roman"/>
                <w:sz w:val="20"/>
              </w:rPr>
              <w:t>Gani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Executive Engineer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PWD Division, </w:t>
            </w:r>
            <w:proofErr w:type="spellStart"/>
            <w:r>
              <w:rPr>
                <w:rFonts w:ascii="Times New Roman" w:hAnsi="Times New Roman"/>
                <w:sz w:val="18"/>
              </w:rPr>
              <w:t>Jhalakati</w:t>
            </w:r>
            <w:proofErr w:type="spellEnd"/>
          </w:p>
        </w:tc>
      </w:tr>
    </w:tbl>
    <w:p w:rsidR="00335D35" w:rsidRDefault="00335D35" w:rsidP="00335D3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Page # 2</w:t>
      </w:r>
    </w:p>
    <w:tbl>
      <w:tblPr>
        <w:tblStyle w:val="TableGrid"/>
        <w:tblW w:w="102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799"/>
        <w:gridCol w:w="450"/>
        <w:gridCol w:w="2069"/>
        <w:gridCol w:w="1349"/>
        <w:gridCol w:w="1889"/>
        <w:gridCol w:w="1624"/>
      </w:tblGrid>
      <w:tr w:rsidR="00335D35" w:rsidTr="00335D35">
        <w:tc>
          <w:tcPr>
            <w:tcW w:w="10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 FOR TENDERER</w:t>
            </w:r>
          </w:p>
        </w:tc>
      </w:tr>
      <w:tr w:rsidR="00335D35" w:rsidTr="00335D3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Eligibility of Tenderer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:-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This invitation for Tender is open to all eligible Tenderers as mentioned below 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a)  Reputed contractors/construction Firms Who have minimum 5(five) years of general experience in Building construction works. b) Having experience in successful Completion of at least 1 (one) number of building construction works with Civil, Sanitary &amp; E/I works with </w:t>
            </w:r>
            <w:r>
              <w:rPr>
                <w:b/>
                <w:sz w:val="18"/>
                <w:szCs w:val="19"/>
              </w:rPr>
              <w:t>R.C.C Pre-Cast pile foundation</w:t>
            </w:r>
            <w:r>
              <w:rPr>
                <w:sz w:val="18"/>
                <w:szCs w:val="19"/>
              </w:rPr>
              <w:t xml:space="preserve"> (Starting from foundation) amounting Tk. </w:t>
            </w:r>
            <w:proofErr w:type="gramStart"/>
            <w:r>
              <w:rPr>
                <w:b/>
                <w:sz w:val="18"/>
                <w:szCs w:val="19"/>
              </w:rPr>
              <w:t>250.00  (</w:t>
            </w:r>
            <w:proofErr w:type="gramEnd"/>
            <w:r>
              <w:rPr>
                <w:b/>
                <w:sz w:val="18"/>
                <w:szCs w:val="19"/>
              </w:rPr>
              <w:t>Two Hundred Fifty) Lacs</w:t>
            </w:r>
            <w:r>
              <w:rPr>
                <w:sz w:val="18"/>
                <w:szCs w:val="19"/>
              </w:rPr>
              <w:t xml:space="preserve"> in a  single tender in Govt./ Semi Govt./ Autonomous Organization of Bangladesh. In the case of JVCA the lead Partner must satisfy 100% for Single work. Experience that must be stated in certificate.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b) The work certificate shall have to be issued by the Officer not below the rank of Executive Engineer of concerned department/ Organization duly verified by the concerned Executive Engineer of PWD of that District/ Area within whose territory the work lying as per format (format-A) for this purpose provided with the tender document.</w:t>
            </w:r>
          </w:p>
        </w:tc>
      </w:tr>
      <w:tr w:rsidR="00335D35" w:rsidTr="00335D35">
        <w:trPr>
          <w:trHeight w:val="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c) The tenderers shall have a minimum average annual construction Turnover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of  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Tk.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430.00 lacs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 during the last 5(five) years. Annual Construction Turnover submitted of should be authenticated by the concerned Deputy Commissioner of income Tax (NBR will be preferred).   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 xml:space="preserve">d) The minimum amount of free funds (liquid assets) or credit facilities shall be </w:t>
            </w: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Tk. 1075.00 lacs</w:t>
            </w:r>
            <w:r>
              <w:rPr>
                <w:rFonts w:ascii="Times New Roman" w:hAnsi="Times New Roman" w:cs="Times New Roman"/>
                <w:sz w:val="18"/>
                <w:szCs w:val="19"/>
              </w:rPr>
              <w:t>. Account statement for liquid assets and credit facility mentioning total limit and present available limit, sanction letter for credit facility (original copy only) must be submitted. Certificate/ statement in respect of liquid assets and credit balance/ outstanding issued in between publication date and submission of the Tender.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e)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9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9"/>
              </w:rPr>
              <w:t>) The Tenderer must enclose with tender valid VAT Registration certificate, Income Tax Clearance certificate, Trade license and Original Money receipt.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sz w:val="18"/>
                <w:szCs w:val="19"/>
              </w:rPr>
              <w:t>ii) Must have up to date ABC Contractor Supervisory license issued by the Electrical licensing Board of Bangladesh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iii) All other conditions as mentioned in tender documents must be fulfilled.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iv)  In   the case of JVCA to qualify each of its partners must meet at least 25% of minimum criteria of individual Tenderer &amp; lead partner at least 40% of those minimum criteria for construction turn over   &amp; amount of liquid assets. Failure to comply with theses requirement will result in rejection of the JVCA tender.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f) If the tenderer submits any false/ incorrect or forged certificate with the tender, tender security may be forfeited. </w:t>
            </w:r>
          </w:p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proofErr w:type="spellStart"/>
            <w:r>
              <w:rPr>
                <w:sz w:val="18"/>
                <w:szCs w:val="19"/>
              </w:rPr>
              <w:t>i</w:t>
            </w:r>
            <w:proofErr w:type="spellEnd"/>
            <w:r>
              <w:rPr>
                <w:sz w:val="18"/>
                <w:szCs w:val="19"/>
              </w:rPr>
              <w:t>) All the pages of the documents submitted by the Tenderers must be numbered and the Tenderers must have to sign. all the pages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g) Documents in support of qualification must be classified chapter wise.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h) The tender security must be enclosed with the tender in the form of pay order or Bank draft, Bank guarantee duly pledged in favor of the Executive Engineer, PWD Division, </w:t>
            </w:r>
            <w:proofErr w:type="spellStart"/>
            <w:r>
              <w:rPr>
                <w:sz w:val="18"/>
                <w:szCs w:val="19"/>
              </w:rPr>
              <w:t>Jhalakathi</w:t>
            </w:r>
            <w:proofErr w:type="spellEnd"/>
            <w:r>
              <w:rPr>
                <w:sz w:val="18"/>
                <w:szCs w:val="19"/>
              </w:rPr>
              <w:t>, from any scheduled Bank of Bangladesh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proofErr w:type="spellStart"/>
            <w:r>
              <w:rPr>
                <w:sz w:val="18"/>
                <w:szCs w:val="19"/>
              </w:rPr>
              <w:t>i</w:t>
            </w:r>
            <w:proofErr w:type="spellEnd"/>
            <w:r>
              <w:rPr>
                <w:sz w:val="18"/>
                <w:szCs w:val="19"/>
              </w:rPr>
              <w:t xml:space="preserve">) All photo copies submitted with tender documents must be duly attested by a class-I </w:t>
            </w:r>
            <w:proofErr w:type="spellStart"/>
            <w:r>
              <w:rPr>
                <w:sz w:val="18"/>
                <w:szCs w:val="19"/>
              </w:rPr>
              <w:t>Gazetted</w:t>
            </w:r>
            <w:proofErr w:type="spellEnd"/>
            <w:r>
              <w:rPr>
                <w:sz w:val="18"/>
                <w:szCs w:val="19"/>
              </w:rPr>
              <w:t xml:space="preserve"> Govt. Officer.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j) Tender documents must be submitted within sealed cover the name of the work clearly super scribed on the cover.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k) Tender will be disqualified if there is given any Modification over total quoted price </w:t>
            </w:r>
          </w:p>
        </w:tc>
      </w:tr>
      <w:tr w:rsidR="00335D35" w:rsidTr="00335D3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pStyle w:val="Default"/>
              <w:jc w:val="both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l) </w:t>
            </w:r>
            <w:r>
              <w:rPr>
                <w:b/>
                <w:sz w:val="18"/>
                <w:szCs w:val="19"/>
              </w:rPr>
              <w:t>The tenderer must be submit 02 (Two) Sets of  Duplicate Copy.</w:t>
            </w:r>
          </w:p>
        </w:tc>
      </w:tr>
      <w:tr w:rsidR="00335D35" w:rsidTr="00335D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Brief Description of  Works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 per BOQ.</w:t>
            </w:r>
          </w:p>
        </w:tc>
      </w:tr>
      <w:tr w:rsidR="00335D35" w:rsidTr="00335D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Tender Validity Period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 days after opening the Tender.</w:t>
            </w:r>
          </w:p>
        </w:tc>
      </w:tr>
      <w:tr w:rsidR="00335D35" w:rsidTr="00335D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Price of Tender Document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Tk. 1,500.00 (One Thousand Five Hundred) only </w:t>
            </w:r>
          </w:p>
        </w:tc>
      </w:tr>
      <w:tr w:rsidR="00335D35" w:rsidTr="00335D35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sz w:val="20"/>
                  <w:szCs w:val="20"/>
                </w:rPr>
                <w:t>Lot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Identification of Lot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Tender Security</w:t>
            </w:r>
          </w:p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Completion Time in Months</w:t>
            </w:r>
          </w:p>
        </w:tc>
      </w:tr>
      <w:tr w:rsidR="00335D35" w:rsidTr="00335D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Construction of 2-storied Women's Barrack (Type-2) with 6-storied foundation in/c. Civil, Sanitary &amp; Electrification works at </w:t>
            </w:r>
            <w:proofErr w:type="spellStart"/>
            <w:r>
              <w:rPr>
                <w:rFonts w:ascii="Times New Roman" w:hAnsi="Times New Roman" w:cs="Times New Roman"/>
              </w:rPr>
              <w:t>Jhalakati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Police Lines, </w:t>
            </w:r>
            <w:proofErr w:type="spellStart"/>
            <w:r>
              <w:rPr>
                <w:rFonts w:ascii="Times New Roman" w:hAnsi="Times New Roman" w:cs="Times New Roman"/>
              </w:rPr>
              <w:t>Jhalakati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Jhalakathi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Linces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Tk.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11.00 Lacs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(Twelve) months</w:t>
            </w:r>
          </w:p>
        </w:tc>
      </w:tr>
    </w:tbl>
    <w:p w:rsidR="00335D35" w:rsidRDefault="00335D35" w:rsidP="00335D35">
      <w:pPr>
        <w:pStyle w:val="BodyText"/>
        <w:rPr>
          <w:sz w:val="20"/>
        </w:rPr>
      </w:pPr>
    </w:p>
    <w:p w:rsidR="00335D35" w:rsidRDefault="00335D35" w:rsidP="00335D3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:rsidR="00335D35" w:rsidRDefault="00335D35" w:rsidP="00335D3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761"/>
        <w:gridCol w:w="4535"/>
        <w:gridCol w:w="2496"/>
      </w:tblGrid>
      <w:tr w:rsidR="00335D35" w:rsidTr="00335D35">
        <w:tc>
          <w:tcPr>
            <w:tcW w:w="2790" w:type="dxa"/>
          </w:tcPr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Sig. of Tenderer with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Date &amp; Seal.</w:t>
            </w:r>
          </w:p>
        </w:tc>
        <w:tc>
          <w:tcPr>
            <w:tcW w:w="4590" w:type="dxa"/>
            <w:hideMark/>
          </w:tcPr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Sudhir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Chandra Das)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Sub-</w:t>
            </w:r>
            <w:proofErr w:type="spellStart"/>
            <w:r>
              <w:rPr>
                <w:rFonts w:ascii="Times New Roman" w:hAnsi="Times New Roman"/>
                <w:sz w:val="18"/>
              </w:rPr>
              <w:t>Asstt</w:t>
            </w:r>
            <w:proofErr w:type="spellEnd"/>
            <w:r>
              <w:rPr>
                <w:rFonts w:ascii="Times New Roman" w:hAnsi="Times New Roman"/>
                <w:sz w:val="18"/>
              </w:rPr>
              <w:t>, Engineer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Jhalakati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PWD Division, </w:t>
            </w:r>
            <w:proofErr w:type="spellStart"/>
            <w:r>
              <w:rPr>
                <w:rFonts w:ascii="Times New Roman" w:hAnsi="Times New Roman"/>
                <w:sz w:val="18"/>
              </w:rPr>
              <w:t>Jhalakati</w:t>
            </w:r>
            <w:proofErr w:type="spellEnd"/>
          </w:p>
        </w:tc>
        <w:tc>
          <w:tcPr>
            <w:tcW w:w="2520" w:type="dxa"/>
            <w:hideMark/>
          </w:tcPr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(Md. Osman </w:t>
            </w:r>
            <w:proofErr w:type="spellStart"/>
            <w:r>
              <w:rPr>
                <w:rFonts w:ascii="Times New Roman" w:hAnsi="Times New Roman"/>
                <w:sz w:val="20"/>
              </w:rPr>
              <w:t>Gani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Executive Engineer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PWD Division, </w:t>
            </w:r>
            <w:proofErr w:type="spellStart"/>
            <w:r>
              <w:rPr>
                <w:rFonts w:ascii="Times New Roman" w:hAnsi="Times New Roman"/>
                <w:sz w:val="18"/>
              </w:rPr>
              <w:t>Jhalakati</w:t>
            </w:r>
            <w:proofErr w:type="spellEnd"/>
          </w:p>
        </w:tc>
      </w:tr>
    </w:tbl>
    <w:p w:rsidR="00335D35" w:rsidRDefault="00335D35" w:rsidP="00335D3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:rsidR="00335D35" w:rsidRDefault="00335D35" w:rsidP="00335D35">
      <w:pPr>
        <w:rPr>
          <w:rFonts w:ascii="Times New Roman" w:hAnsi="Times New Roman" w:cs="Times New Roman"/>
          <w:sz w:val="36"/>
        </w:rPr>
      </w:pPr>
    </w:p>
    <w:p w:rsidR="00335D35" w:rsidRDefault="00335D35" w:rsidP="00335D3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Page # 3</w:t>
      </w:r>
    </w:p>
    <w:p w:rsidR="00335D35" w:rsidRDefault="00335D35" w:rsidP="00335D35">
      <w:pPr>
        <w:jc w:val="center"/>
        <w:rPr>
          <w:rFonts w:ascii="Times New Roman" w:hAnsi="Times New Roman" w:cs="Times New Roman"/>
          <w:sz w:val="24"/>
        </w:rPr>
      </w:pPr>
    </w:p>
    <w:p w:rsidR="00335D35" w:rsidRDefault="00335D35" w:rsidP="00335D3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26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4"/>
        <w:gridCol w:w="4168"/>
        <w:gridCol w:w="2475"/>
        <w:gridCol w:w="2893"/>
      </w:tblGrid>
      <w:tr w:rsidR="00335D35" w:rsidTr="00335D35"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PROCURING ENTITY DETAILS</w:t>
            </w:r>
          </w:p>
        </w:tc>
      </w:tr>
      <w:tr w:rsidR="00335D35" w:rsidTr="00335D3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Name of Official Inviting Tender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Md. Osman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Gani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335D35" w:rsidTr="00335D3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Designation of Official Inviting Tender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Executive Engineer</w:t>
            </w:r>
          </w:p>
        </w:tc>
      </w:tr>
      <w:tr w:rsidR="00335D35" w:rsidTr="00335D3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Address of Official Inviting Tender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Jhalakathi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PWD Division,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Jhalakathi</w:t>
            </w:r>
            <w:proofErr w:type="spellEnd"/>
          </w:p>
        </w:tc>
      </w:tr>
      <w:tr w:rsidR="00335D35" w:rsidTr="00335D35"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Contact details of Official Inviting Tender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Tel. No-</w:t>
            </w:r>
            <w:r>
              <w:rPr>
                <w:rFonts w:ascii="Times New Roman" w:hAnsi="Times New Roman" w:cs="Times New Roman"/>
              </w:rPr>
              <w:t>0498-63277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Fax No- 0498-62485</w:t>
            </w:r>
          </w:p>
        </w:tc>
      </w:tr>
      <w:tr w:rsidR="00335D35" w:rsidTr="00335D35">
        <w:tc>
          <w:tcPr>
            <w:tcW w:w="10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D35" w:rsidRDefault="00335D35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E-mail: ee_jhlakt@pwd.gov.bd</w:t>
            </w:r>
          </w:p>
        </w:tc>
      </w:tr>
      <w:tr w:rsidR="00335D35" w:rsidTr="00335D3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a) The Procuring Entity reserves the right to reject any or all the Tenders or annul the Tender proceedings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If it is not possible to receive/open the tender on the schedule date for any unavoidable circumstances, the same will Received/opened on the next working date at the same time &amp; same venue.</w:t>
            </w:r>
          </w:p>
          <w:p w:rsidR="00335D35" w:rsidRDefault="00335D35">
            <w:pPr>
              <w:spacing w:line="240" w:lineRule="auto"/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335D35" w:rsidRDefault="00335D35">
            <w:pPr>
              <w:spacing w:line="36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c) All other terms &amp; conditions as stated in PPR-2008 and its amendments till date will be remaining valid.</w:t>
            </w:r>
          </w:p>
        </w:tc>
      </w:tr>
    </w:tbl>
    <w:p w:rsidR="00335D35" w:rsidRDefault="00335D35" w:rsidP="00335D35">
      <w:pPr>
        <w:pStyle w:val="BodyText"/>
        <w:spacing w:after="0"/>
        <w:rPr>
          <w:b/>
          <w:sz w:val="20"/>
        </w:rPr>
      </w:pPr>
    </w:p>
    <w:p w:rsidR="00335D35" w:rsidRDefault="00335D35" w:rsidP="00335D35">
      <w:pPr>
        <w:pStyle w:val="BodyText"/>
        <w:spacing w:after="0"/>
        <w:rPr>
          <w:b/>
          <w:sz w:val="20"/>
        </w:rPr>
      </w:pPr>
    </w:p>
    <w:p w:rsidR="00335D35" w:rsidRDefault="00335D35" w:rsidP="00335D35">
      <w:pPr>
        <w:pStyle w:val="BodyText"/>
        <w:spacing w:after="0"/>
        <w:rPr>
          <w:b/>
          <w:sz w:val="20"/>
        </w:rPr>
      </w:pPr>
    </w:p>
    <w:p w:rsidR="00335D35" w:rsidRDefault="00335D35" w:rsidP="00335D35">
      <w:pPr>
        <w:pStyle w:val="BodyText"/>
        <w:tabs>
          <w:tab w:val="left" w:pos="4215"/>
        </w:tabs>
        <w:spacing w:after="0"/>
        <w:rPr>
          <w:b/>
          <w:sz w:val="20"/>
        </w:rPr>
      </w:pPr>
      <w:r>
        <w:rPr>
          <w:b/>
          <w:sz w:val="20"/>
        </w:rPr>
        <w:tab/>
      </w:r>
    </w:p>
    <w:p w:rsidR="00335D35" w:rsidRDefault="00335D35" w:rsidP="00335D3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:rsidR="00335D35" w:rsidRDefault="00335D35" w:rsidP="00335D3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:rsidR="00335D35" w:rsidRDefault="00335D35" w:rsidP="00335D3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2761"/>
        <w:gridCol w:w="4535"/>
        <w:gridCol w:w="2496"/>
      </w:tblGrid>
      <w:tr w:rsidR="00335D35" w:rsidTr="00335D35">
        <w:tc>
          <w:tcPr>
            <w:tcW w:w="2790" w:type="dxa"/>
          </w:tcPr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Sig. of Tenderer with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Date &amp; Seal.</w:t>
            </w:r>
          </w:p>
        </w:tc>
        <w:tc>
          <w:tcPr>
            <w:tcW w:w="4590" w:type="dxa"/>
            <w:hideMark/>
          </w:tcPr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Sudhir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Chandra Das)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Sub-</w:t>
            </w:r>
            <w:proofErr w:type="spellStart"/>
            <w:r>
              <w:rPr>
                <w:rFonts w:ascii="Times New Roman" w:hAnsi="Times New Roman"/>
                <w:sz w:val="18"/>
              </w:rPr>
              <w:t>Asstt</w:t>
            </w:r>
            <w:proofErr w:type="spellEnd"/>
            <w:r>
              <w:rPr>
                <w:rFonts w:ascii="Times New Roman" w:hAnsi="Times New Roman"/>
                <w:sz w:val="18"/>
              </w:rPr>
              <w:t>, Engineer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Jhalakati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PWD Division, </w:t>
            </w:r>
            <w:proofErr w:type="spellStart"/>
            <w:r>
              <w:rPr>
                <w:rFonts w:ascii="Times New Roman" w:hAnsi="Times New Roman"/>
                <w:sz w:val="18"/>
              </w:rPr>
              <w:t>Jhalakati</w:t>
            </w:r>
            <w:proofErr w:type="spellEnd"/>
          </w:p>
        </w:tc>
        <w:tc>
          <w:tcPr>
            <w:tcW w:w="2520" w:type="dxa"/>
            <w:hideMark/>
          </w:tcPr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(Md. Osman </w:t>
            </w:r>
            <w:proofErr w:type="spellStart"/>
            <w:r>
              <w:rPr>
                <w:rFonts w:ascii="Times New Roman" w:hAnsi="Times New Roman"/>
                <w:sz w:val="20"/>
              </w:rPr>
              <w:t>Gani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Executive Engineer</w:t>
            </w:r>
          </w:p>
          <w:p w:rsidR="00335D35" w:rsidRDefault="00335D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PWD Division, </w:t>
            </w:r>
            <w:proofErr w:type="spellStart"/>
            <w:r>
              <w:rPr>
                <w:rFonts w:ascii="Times New Roman" w:hAnsi="Times New Roman"/>
                <w:sz w:val="18"/>
              </w:rPr>
              <w:t>Jhalakati</w:t>
            </w:r>
            <w:proofErr w:type="spellEnd"/>
          </w:p>
        </w:tc>
      </w:tr>
    </w:tbl>
    <w:p w:rsidR="00335D35" w:rsidRDefault="00335D35" w:rsidP="00335D3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:rsidR="00335D35" w:rsidRDefault="00335D35" w:rsidP="00335D3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:rsidR="00335D35" w:rsidRDefault="00335D35" w:rsidP="00335D35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:rsidR="00335D35" w:rsidRDefault="00335D35" w:rsidP="00335D35">
      <w:pPr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iCs/>
          <w:sz w:val="20"/>
          <w:szCs w:val="20"/>
          <w:lang w:val="en-GB"/>
        </w:rPr>
        <w:br w:type="page"/>
      </w:r>
    </w:p>
    <w:p w:rsidR="003D1156" w:rsidRDefault="003D1156">
      <w:bookmarkStart w:id="0" w:name="_GoBack"/>
      <w:bookmarkEnd w:id="0"/>
    </w:p>
    <w:sectPr w:rsidR="003D1156" w:rsidSect="00335D3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05"/>
    <w:rsid w:val="00335D35"/>
    <w:rsid w:val="003D1156"/>
    <w:rsid w:val="009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43A8D5-D90B-45CC-AD3A-882AB257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D3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35D35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335D3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35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335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 Hassan</dc:creator>
  <cp:keywords/>
  <dc:description/>
  <cp:lastModifiedBy>Mehedi Hassan</cp:lastModifiedBy>
  <cp:revision>2</cp:revision>
  <dcterms:created xsi:type="dcterms:W3CDTF">2016-10-10T03:27:00Z</dcterms:created>
  <dcterms:modified xsi:type="dcterms:W3CDTF">2016-10-10T03:28:00Z</dcterms:modified>
</cp:coreProperties>
</file>