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98" w:rsidRPr="00094B80" w:rsidRDefault="00053A98" w:rsidP="00053A98">
      <w:pPr>
        <w:jc w:val="center"/>
        <w:rPr>
          <w:sz w:val="18"/>
          <w:szCs w:val="18"/>
        </w:rPr>
      </w:pPr>
      <w:proofErr w:type="gramStart"/>
      <w:r w:rsidRPr="00094B80">
        <w:rPr>
          <w:sz w:val="18"/>
          <w:szCs w:val="18"/>
        </w:rPr>
        <w:t>GOVERNMENT  OF</w:t>
      </w:r>
      <w:proofErr w:type="gramEnd"/>
      <w:r w:rsidRPr="00094B80">
        <w:rPr>
          <w:sz w:val="18"/>
          <w:szCs w:val="18"/>
        </w:rPr>
        <w:t xml:space="preserve"> THE PEOPLE’S </w:t>
      </w:r>
      <w:smartTag w:uri="urn:schemas-microsoft-com:office:smarttags" w:element="place">
        <w:smartTag w:uri="urn:schemas-microsoft-com:office:smarttags" w:element="PlaceType">
          <w:r w:rsidRPr="00094B80">
            <w:rPr>
              <w:sz w:val="18"/>
              <w:szCs w:val="18"/>
            </w:rPr>
            <w:t>REPUBLIC</w:t>
          </w:r>
        </w:smartTag>
        <w:r w:rsidRPr="00094B80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094B80">
            <w:rPr>
              <w:sz w:val="18"/>
              <w:szCs w:val="18"/>
            </w:rPr>
            <w:t>BANGLADESH</w:t>
          </w:r>
        </w:smartTag>
      </w:smartTag>
    </w:p>
    <w:p w:rsidR="00053A98" w:rsidRPr="00094B80" w:rsidRDefault="00053A98" w:rsidP="00053A98">
      <w:pPr>
        <w:jc w:val="center"/>
        <w:rPr>
          <w:sz w:val="18"/>
          <w:szCs w:val="18"/>
        </w:rPr>
      </w:pPr>
      <w:r w:rsidRPr="00094B80">
        <w:rPr>
          <w:sz w:val="18"/>
          <w:szCs w:val="18"/>
        </w:rPr>
        <w:t>OFFICE OF THE EXECUTIVE ENGINEER</w:t>
      </w:r>
    </w:p>
    <w:p w:rsidR="00053A98" w:rsidRPr="00094B80" w:rsidRDefault="00053A98" w:rsidP="00053A98">
      <w:pPr>
        <w:jc w:val="center"/>
        <w:rPr>
          <w:sz w:val="18"/>
          <w:szCs w:val="18"/>
        </w:rPr>
      </w:pPr>
      <w:proofErr w:type="gramStart"/>
      <w:r w:rsidRPr="00094B80">
        <w:rPr>
          <w:sz w:val="18"/>
          <w:szCs w:val="18"/>
        </w:rPr>
        <w:t>PWD DIVISION-2, RAJSHAHI.</w:t>
      </w:r>
      <w:proofErr w:type="gramEnd"/>
    </w:p>
    <w:p w:rsidR="00053A98" w:rsidRPr="00094B80" w:rsidRDefault="00053A98" w:rsidP="00053A98">
      <w:pPr>
        <w:pStyle w:val="Heading5"/>
        <w:rPr>
          <w:b w:val="0"/>
          <w:sz w:val="20"/>
          <w:szCs w:val="20"/>
          <w:u w:val="single"/>
        </w:rPr>
      </w:pPr>
      <w:r w:rsidRPr="00094B80">
        <w:rPr>
          <w:b w:val="0"/>
          <w:sz w:val="20"/>
          <w:szCs w:val="20"/>
          <w:u w:val="single"/>
        </w:rPr>
        <w:t>IFT-05/2015-16</w:t>
      </w:r>
    </w:p>
    <w:p w:rsidR="00053A98" w:rsidRPr="00AF0C4E" w:rsidRDefault="00053A98" w:rsidP="00053A98">
      <w:pPr>
        <w:pStyle w:val="BodyText3"/>
        <w:jc w:val="both"/>
        <w:rPr>
          <w:rFonts w:ascii="Calibri" w:hAnsi="Calibri" w:cs="Calibri"/>
          <w:bCs/>
          <w:iCs/>
          <w:sz w:val="18"/>
          <w:szCs w:val="18"/>
          <w:lang w:val="en-GB"/>
        </w:rPr>
      </w:pPr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 xml:space="preserve">Sealed </w:t>
      </w:r>
      <w:proofErr w:type="gramStart"/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>tenders  are</w:t>
      </w:r>
      <w:proofErr w:type="gramEnd"/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 xml:space="preserve"> hereby invited  as per PPR-2008 for the under mentioned work</w:t>
      </w:r>
      <w:r>
        <w:rPr>
          <w:rFonts w:ascii="Calibri" w:hAnsi="Calibri" w:cs="Calibri"/>
          <w:bCs/>
          <w:iCs/>
          <w:sz w:val="18"/>
          <w:szCs w:val="18"/>
          <w:lang w:val="en-GB"/>
        </w:rPr>
        <w:t>s</w:t>
      </w:r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 xml:space="preserve"> as per terms and  conditions stated below :</w:t>
      </w:r>
    </w:p>
    <w:p w:rsidR="00053A98" w:rsidRPr="00FC7A35" w:rsidRDefault="00053A98" w:rsidP="00053A98">
      <w:pPr>
        <w:pStyle w:val="BodyText3"/>
        <w:jc w:val="both"/>
        <w:rPr>
          <w:rFonts w:ascii="Times New Roman" w:hAnsi="Times New Roman"/>
          <w:sz w:val="8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39"/>
        <w:gridCol w:w="2038"/>
        <w:gridCol w:w="990"/>
        <w:gridCol w:w="2970"/>
        <w:gridCol w:w="1080"/>
        <w:gridCol w:w="1170"/>
        <w:gridCol w:w="1530"/>
      </w:tblGrid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01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Ministry/Division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Ministry </w:t>
            </w:r>
            <w:proofErr w:type="gram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of  Home</w:t>
            </w:r>
            <w:proofErr w:type="gramEnd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Affairs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02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Agency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Public Works Department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03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Procuring Entity Name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Engineer, PWD Division-2, Rajshahi.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04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Procuring Entity District. 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proofErr w:type="gram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Rajshahi.</w:t>
            </w:r>
            <w:proofErr w:type="gramEnd"/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05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Invitation for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proofErr w:type="gramStart"/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works</w:t>
            </w:r>
            <w:proofErr w:type="gramEnd"/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06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Invitation Ref. No</w:t>
            </w:r>
          </w:p>
        </w:tc>
        <w:tc>
          <w:tcPr>
            <w:tcW w:w="7740" w:type="dxa"/>
            <w:gridSpan w:val="5"/>
          </w:tcPr>
          <w:p w:rsidR="00053A98" w:rsidRPr="00343AE1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color w:val="FF0000"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color w:val="FF0000"/>
                <w:sz w:val="18"/>
                <w:szCs w:val="18"/>
                <w:u w:val="none"/>
                <w:lang w:eastAsia="en-US"/>
              </w:rPr>
              <w:t>660(2</w:t>
            </w:r>
            <w:r w:rsidRPr="00343AE1">
              <w:rPr>
                <w:rFonts w:ascii="Calibri" w:eastAsia="Times New Roman" w:hAnsi="Calibri" w:cs="Calibri"/>
                <w:b w:val="0"/>
                <w:bCs/>
                <w:iCs/>
                <w:color w:val="FF0000"/>
                <w:sz w:val="18"/>
                <w:szCs w:val="18"/>
                <w:u w:val="none"/>
                <w:lang w:eastAsia="en-US"/>
              </w:rPr>
              <w:t>0)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07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Date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  <w:shd w:val="clear" w:color="auto" w:fill="FFFFFF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29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-1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2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-2015.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08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Procurement Method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Open Tendering Method (OTM)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Budget &amp; Source of Funds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proofErr w:type="gram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Development (GOB).</w:t>
            </w:r>
            <w:proofErr w:type="gramEnd"/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Project/Programme Name</w:t>
            </w:r>
          </w:p>
        </w:tc>
        <w:tc>
          <w:tcPr>
            <w:tcW w:w="7740" w:type="dxa"/>
            <w:gridSpan w:val="5"/>
            <w:shd w:val="clear" w:color="auto" w:fill="FFFFFF"/>
          </w:tcPr>
          <w:p w:rsidR="00053A98" w:rsidRPr="00AD484C" w:rsidRDefault="00053A98" w:rsidP="00181EAB">
            <w:pPr>
              <w:rPr>
                <w:rFonts w:ascii="Calibri" w:hAnsi="Calibri" w:cs="Calibri"/>
                <w:bCs/>
                <w:iCs/>
                <w:lang w:val="en-GB"/>
              </w:rPr>
            </w:pPr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Cons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truction of office Building for </w:t>
            </w:r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Depertment</w:t>
            </w:r>
            <w:proofErr w:type="spellEnd"/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of Narcotics Control at Division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al </w:t>
            </w:r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Headquarters (Dhaka, Rajshahi, Barisal &amp; </w:t>
            </w:r>
            <w:proofErr w:type="spellStart"/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Sylhet</w:t>
            </w:r>
            <w:proofErr w:type="spellEnd"/>
            <w:r w:rsidRPr="004704B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)</w:t>
            </w:r>
            <w:r>
              <w:t xml:space="preserve"> 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1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 package Name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As ment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ioned in the Identification's 22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of IFT.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2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 publication date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30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-1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2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-2015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pStyle w:val="BodyText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64169">
              <w:rPr>
                <w:rFonts w:ascii="Times New Roman" w:hAnsi="Times New Roman"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 last Selling date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18-01 -2016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pStyle w:val="BodyText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64169">
              <w:rPr>
                <w:rFonts w:ascii="Times New Roman" w:hAnsi="Times New Roman"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 Closing Date and Time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19-01 -2016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. </w:t>
            </w:r>
            <w:proofErr w:type="spellStart"/>
            <w:proofErr w:type="gram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Upto</w:t>
            </w:r>
            <w:proofErr w:type="spellEnd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12.00 PM.</w:t>
            </w:r>
            <w:proofErr w:type="gramEnd"/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pStyle w:val="BodyText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64169">
              <w:rPr>
                <w:rFonts w:ascii="Times New Roman" w:hAnsi="Times New Roman"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 Opening Date and Time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19-01 -2016 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at 03.00 PM.</w:t>
            </w:r>
          </w:p>
        </w:tc>
      </w:tr>
      <w:tr w:rsidR="00053A98" w:rsidRPr="00BD26C4" w:rsidTr="00181EAB">
        <w:trPr>
          <w:trHeight w:val="269"/>
        </w:trPr>
        <w:tc>
          <w:tcPr>
            <w:tcW w:w="393" w:type="dxa"/>
          </w:tcPr>
          <w:p w:rsidR="00053A98" w:rsidRPr="00D64169" w:rsidRDefault="00053A98" w:rsidP="00181EAB">
            <w:pPr>
              <w:pStyle w:val="NoSpacing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64169">
              <w:rPr>
                <w:rFonts w:ascii="Times New Roman" w:hAnsi="Times New Roman"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094B80">
              <w:rPr>
                <w:rFonts w:ascii="Calibri" w:hAnsi="Calibri" w:cs="Calibri"/>
                <w:bCs/>
                <w:iCs/>
                <w:sz w:val="16"/>
                <w:szCs w:val="16"/>
                <w:lang w:val="en-GB"/>
              </w:rPr>
              <w:t xml:space="preserve">Selling Tender </w:t>
            </w:r>
            <w:proofErr w:type="spellStart"/>
            <w:r w:rsidRPr="00094B80">
              <w:rPr>
                <w:rFonts w:ascii="Calibri" w:hAnsi="Calibri" w:cs="Calibri"/>
                <w:bCs/>
                <w:iCs/>
                <w:sz w:val="16"/>
                <w:szCs w:val="16"/>
                <w:lang w:val="en-GB"/>
              </w:rPr>
              <w:t>documen</w:t>
            </w:r>
            <w:proofErr w:type="spellEnd"/>
            <w:r w:rsidRPr="00094B80">
              <w:rPr>
                <w:rFonts w:ascii="Calibri" w:hAnsi="Calibri" w:cs="Calibri"/>
                <w:bCs/>
                <w:iCs/>
                <w:sz w:val="16"/>
                <w:szCs w:val="16"/>
                <w:lang w:val="en-GB"/>
              </w:rPr>
              <w:t xml:space="preserve"> (Principal)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Office of the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Engineer, PWD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Division-2, Rajshahi.</w:t>
            </w:r>
          </w:p>
        </w:tc>
      </w:tr>
      <w:tr w:rsidR="00053A98" w:rsidRPr="00BD26C4" w:rsidTr="00181EAB">
        <w:trPr>
          <w:trHeight w:val="602"/>
        </w:trPr>
        <w:tc>
          <w:tcPr>
            <w:tcW w:w="393" w:type="dxa"/>
          </w:tcPr>
          <w:p w:rsidR="00053A98" w:rsidRPr="00D64169" w:rsidRDefault="00053A98" w:rsidP="00181EAB">
            <w:pPr>
              <w:pStyle w:val="NoSpacing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77" w:type="dxa"/>
            <w:gridSpan w:val="2"/>
          </w:tcPr>
          <w:p w:rsidR="00053A98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Selling Tender document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(Other)</w:t>
            </w:r>
          </w:p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Divisional Commissioner. Rajshahi /Executive Engineer. PWD Division-1, Dhaka </w:t>
            </w:r>
            <w:proofErr w:type="gramStart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/  PWD</w:t>
            </w:r>
            <w:proofErr w:type="gramEnd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Division-1, Chittagong / PWD Division-1, Khulna / PWD Division, </w:t>
            </w:r>
            <w:proofErr w:type="spellStart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Sylhet</w:t>
            </w:r>
            <w:proofErr w:type="spellEnd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 PWD Division, Barisal /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Rangpur</w:t>
            </w:r>
            <w:proofErr w:type="spellEnd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 PWD Division-I, Rajshahi / PWD Division-</w:t>
            </w:r>
            <w:proofErr w:type="spellStart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Chapainawabgonj</w:t>
            </w:r>
            <w:proofErr w:type="spellEnd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Pabna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Naogaon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Bogra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Sirajgonj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Joypurhat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 Division</w:t>
            </w:r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Natore</w:t>
            </w:r>
            <w:proofErr w:type="spellEnd"/>
            <w:r w:rsidRPr="00613EC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</w:p>
        </w:tc>
      </w:tr>
      <w:tr w:rsidR="00053A98" w:rsidRPr="00BD26C4" w:rsidTr="00181EAB">
        <w:trPr>
          <w:trHeight w:val="270"/>
        </w:trPr>
        <w:tc>
          <w:tcPr>
            <w:tcW w:w="393" w:type="dxa"/>
          </w:tcPr>
          <w:p w:rsidR="00053A98" w:rsidRPr="00D64169" w:rsidRDefault="00053A98" w:rsidP="00181EAB">
            <w:pPr>
              <w:pStyle w:val="Heading5"/>
              <w:rPr>
                <w:rFonts w:ascii="Times New Roman" w:hAnsi="Times New Roman"/>
                <w:b w:val="0"/>
                <w:sz w:val="16"/>
                <w:szCs w:val="18"/>
                <w:u w:val="none"/>
              </w:rPr>
            </w:pPr>
            <w:r>
              <w:rPr>
                <w:rFonts w:ascii="Times New Roman" w:hAnsi="Times New Roman"/>
                <w:b w:val="0"/>
                <w:sz w:val="16"/>
                <w:szCs w:val="18"/>
                <w:u w:val="none"/>
              </w:rPr>
              <w:t>17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Receiving tender Document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Office of the Divisional Commissioner, Rajshahi/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Metropolito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Police Commissioner, Rajshahi/ 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ngineer, Rajshahi PWD Division-1</w:t>
            </w:r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, </w:t>
            </w:r>
            <w:r w:rsidRPr="001E206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Rajshahi</w:t>
            </w:r>
            <w:proofErr w:type="gramStart"/>
            <w:r w:rsidRPr="001E206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./</w:t>
            </w:r>
            <w:proofErr w:type="gramEnd"/>
            <w:r w:rsidRPr="006F593F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Executive Engineer, Rajshahi PWD Division-2, </w:t>
            </w:r>
            <w:r w:rsidRPr="001E206D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Rajshahi.</w:t>
            </w:r>
          </w:p>
        </w:tc>
      </w:tr>
      <w:tr w:rsidR="00053A98" w:rsidRPr="00BD26C4" w:rsidTr="00181EAB">
        <w:trPr>
          <w:trHeight w:val="290"/>
        </w:trPr>
        <w:tc>
          <w:tcPr>
            <w:tcW w:w="393" w:type="dxa"/>
            <w:tcBorders>
              <w:bottom w:val="single" w:sz="4" w:space="0" w:color="auto"/>
            </w:tcBorders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45.65pt;margin-top:9.2pt;width:612.5pt;height:96pt;rotation:-2700056fd;z-index:-251656192;mso-position-horizontal-relative:text;mso-position-vertical-relative:tex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PWD"/>
                </v:shape>
              </w:pict>
            </w:r>
            <w:r>
              <w:rPr>
                <w:sz w:val="16"/>
                <w:szCs w:val="18"/>
              </w:rPr>
              <w:t>18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Opening Tender Document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053A98" w:rsidRPr="00E31F64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Office of the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Engineer, PWD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Division-2, Rajshahi.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Eligibility of </w:t>
            </w:r>
            <w:proofErr w:type="spellStart"/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Tenderers</w:t>
            </w:r>
            <w:proofErr w:type="spellEnd"/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All </w:t>
            </w:r>
            <w:proofErr w:type="spell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Tenderers</w:t>
            </w:r>
            <w:proofErr w:type="spellEnd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of Govt</w:t>
            </w:r>
            <w:proofErr w:type="gramStart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./</w:t>
            </w:r>
            <w:proofErr w:type="gramEnd"/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Semi Govt/Autonomous/Corporate body are Eligible  having following qualifications/capacities.</w:t>
            </w:r>
          </w:p>
          <w:p w:rsidR="00053A98" w:rsidRPr="00E31F64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i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) Reputed Contractors/Construction firms who have minimum 05 (five) years of general experience in Building/construction works.</w:t>
            </w:r>
          </w:p>
          <w:p w:rsidR="00053A98" w:rsidRPr="00E31F64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ii) Having Experience in Successful completion of at least 01(One) Number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50 KVA Sub-station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of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Tk.27.00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lac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in a single tender during last five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years.The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work Certificate for successful Completion of work shall have to   be issued by the authority concerned/ Executive Engineer of concerned department duly verified by </w:t>
            </w:r>
            <w:proofErr w:type="gram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the  Executive</w:t>
            </w:r>
            <w:proofErr w:type="gram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Engineer of PWD under whose Jurisdiction the work has been  completed.</w:t>
            </w:r>
          </w:p>
          <w:p w:rsidR="00053A98" w:rsidRPr="00E31F64" w:rsidRDefault="00053A98" w:rsidP="00181EAB">
            <w:pPr>
              <w:pStyle w:val="BodyText3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iii) The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tenderers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shall have a minimum average annual </w:t>
            </w:r>
            <w:proofErr w:type="gram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Construction  turn</w:t>
            </w:r>
            <w:proofErr w:type="gram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over duri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ng last 5(five) years.70.00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Lac  Supporting documents is to be  submitted with the tender. </w:t>
            </w:r>
          </w:p>
          <w:p w:rsidR="00053A98" w:rsidRPr="00B73408" w:rsidRDefault="00053A98" w:rsidP="00181EAB">
            <w:pPr>
              <w:jc w:val="both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iv) Having minimum liquid asset (Cash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flow/Free fund) amounting Tk.27.00 Lac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supporting  documents</w:t>
            </w:r>
            <w:proofErr w:type="gram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is to be submitted with the  tender.</w:t>
            </w:r>
            <w:r w:rsidRPr="00B73408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Bank Statement Should be counted 28 (twenty eight) days before from the date of opening of tender.</w:t>
            </w:r>
          </w:p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v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Ten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derer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have </w:t>
            </w:r>
            <w:proofErr w:type="gram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to  Enclosed</w:t>
            </w:r>
            <w:proofErr w:type="gram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with tender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Orginal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money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recept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Upto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date Trade Licence</w:t>
            </w:r>
            <w:proofErr w:type="gram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,  Income</w:t>
            </w:r>
            <w:proofErr w:type="gram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Tax Clearance Certificate, VAT Registration Certificate and ABC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category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contractory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and supervisory licence from Electric Licensing Board.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  <w:p w:rsidR="00053A98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Vi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) The tender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sucurity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shall in the form </w:t>
            </w:r>
            <w:proofErr w:type="gram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of 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Bank</w:t>
            </w:r>
            <w:proofErr w:type="gram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draft or Pay order issued by a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Any</w:t>
            </w:r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sheduled</w:t>
            </w:r>
            <w:proofErr w:type="spellEnd"/>
            <w:r w:rsidRPr="00E31F64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Bank of Bangladesh.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053A98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Vii)</w:t>
            </w:r>
            <w:r w:rsidRPr="00AE5A9C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642CB3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Fulfilling all other conditions mentioned in the TDS.</w:t>
            </w:r>
          </w:p>
          <w:p w:rsidR="00053A98" w:rsidRPr="00E31F64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Viii) </w:t>
            </w: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Joinventure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will not accept as per TDS PW2a.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Brief description of  Works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Sub-</w:t>
            </w:r>
            <w:proofErr w:type="gramStart"/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Station  Equipment</w:t>
            </w:r>
            <w:proofErr w:type="gramEnd"/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, Overhead 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Electric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al</w:t>
            </w: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Line etc.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2577" w:type="dxa"/>
            <w:gridSpan w:val="2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Tender Document Price 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  <w:t xml:space="preserve"> </w:t>
            </w:r>
          </w:p>
        </w:tc>
        <w:tc>
          <w:tcPr>
            <w:tcW w:w="7740" w:type="dxa"/>
            <w:gridSpan w:val="5"/>
          </w:tcPr>
          <w:p w:rsidR="00053A98" w:rsidRPr="00E31F64" w:rsidRDefault="00053A98" w:rsidP="00181EAB">
            <w:pPr>
              <w:pStyle w:val="Heading5"/>
              <w:jc w:val="left"/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</w:pPr>
            <w:r w:rsidRPr="00E31F64"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>Tk. 1000.00</w:t>
            </w:r>
            <w:r>
              <w:rPr>
                <w:rFonts w:ascii="Calibri" w:eastAsia="Times New Roman" w:hAnsi="Calibri" w:cs="Calibri"/>
                <w:b w:val="0"/>
                <w:bCs/>
                <w:iCs/>
                <w:sz w:val="18"/>
                <w:szCs w:val="18"/>
                <w:u w:val="none"/>
                <w:lang w:eastAsia="en-US"/>
              </w:rPr>
              <w:t xml:space="preserve"> (One thousand taka only)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2</w:t>
            </w:r>
          </w:p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39" w:type="dxa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smartTag w:uri="urn:schemas-microsoft-com:office:smarttags" w:element="place">
              <w:r w:rsidRPr="00AF0C4E">
                <w:rPr>
                  <w:rFonts w:ascii="Calibri" w:hAnsi="Calibri" w:cs="Calibri"/>
                  <w:b/>
                  <w:iCs/>
                  <w:sz w:val="18"/>
                  <w:szCs w:val="18"/>
                  <w:lang w:val="en-GB"/>
                </w:rPr>
                <w:t>Lot</w:t>
              </w:r>
            </w:smartTag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5998" w:type="dxa"/>
            <w:gridSpan w:val="3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proofErr w:type="spellStart"/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Indentification</w:t>
            </w:r>
            <w:proofErr w:type="spellEnd"/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of </w:t>
            </w:r>
            <w:smartTag w:uri="urn:schemas-microsoft-com:office:smarttags" w:element="place">
              <w:r w:rsidRPr="00AF0C4E">
                <w:rPr>
                  <w:rFonts w:ascii="Calibri" w:hAnsi="Calibri" w:cs="Calibri"/>
                  <w:b/>
                  <w:iCs/>
                  <w:sz w:val="18"/>
                  <w:szCs w:val="18"/>
                  <w:lang w:val="en-GB"/>
                </w:rPr>
                <w:t>Lot</w:t>
              </w:r>
            </w:smartTag>
          </w:p>
        </w:tc>
        <w:tc>
          <w:tcPr>
            <w:tcW w:w="1080" w:type="dxa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170" w:type="dxa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Tender security of amount (</w:t>
            </w:r>
            <w:proofErr w:type="spellStart"/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Tk</w:t>
            </w:r>
            <w:proofErr w:type="spellEnd"/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530" w:type="dxa"/>
          </w:tcPr>
          <w:p w:rsidR="00053A98" w:rsidRPr="00AF0C4E" w:rsidRDefault="00053A98" w:rsidP="00181EAB">
            <w:pPr>
              <w:pStyle w:val="BodyText3"/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Completion time in weeks /months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39" w:type="dxa"/>
          </w:tcPr>
          <w:p w:rsidR="00053A98" w:rsidRPr="00D64169" w:rsidRDefault="00053A98" w:rsidP="00181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98" w:type="dxa"/>
            <w:gridSpan w:val="3"/>
          </w:tcPr>
          <w:p w:rsidR="00053A98" w:rsidRPr="00794777" w:rsidRDefault="00053A98" w:rsidP="00181EAB">
            <w:pPr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wefvMxq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kn‡i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XvKv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PUªMÖvg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ivRkvnx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ewikvj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wm‡jU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gv`K`ªe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¨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wbqš¿Y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Awa`ß‡ii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Awdm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feb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wbgv©Y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cÖK‡íi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AvIZvq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ivRkvnx‡Z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ewnt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ˆ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e`y¨wZK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KvR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| A_© </w:t>
            </w:r>
            <w:proofErr w:type="spellStart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>eQi</w:t>
            </w:r>
            <w:proofErr w:type="spellEnd"/>
            <w:r w:rsidRPr="00794777">
              <w:rPr>
                <w:rFonts w:ascii="SutonnyMJ" w:hAnsi="SutonnyMJ" w:cs="Calibri"/>
                <w:bCs/>
                <w:iCs/>
                <w:sz w:val="20"/>
                <w:szCs w:val="20"/>
                <w:lang w:val="en-GB"/>
              </w:rPr>
              <w:t xml:space="preserve"> 2015-16</w:t>
            </w:r>
          </w:p>
        </w:tc>
        <w:tc>
          <w:tcPr>
            <w:tcW w:w="1080" w:type="dxa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Rajshahi</w:t>
            </w:r>
          </w:p>
        </w:tc>
        <w:tc>
          <w:tcPr>
            <w:tcW w:w="1170" w:type="dxa"/>
          </w:tcPr>
          <w:p w:rsidR="00053A98" w:rsidRPr="00AF0C4E" w:rsidRDefault="00053A98" w:rsidP="00181EAB">
            <w:pPr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1,20,000/-</w:t>
            </w:r>
          </w:p>
        </w:tc>
        <w:tc>
          <w:tcPr>
            <w:tcW w:w="1530" w:type="dxa"/>
          </w:tcPr>
          <w:p w:rsidR="00053A98" w:rsidRPr="00AF0C4E" w:rsidRDefault="00053A98" w:rsidP="00181EAB">
            <w:pPr>
              <w:pStyle w:val="BodyText3"/>
              <w:jc w:val="center"/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06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months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3567" w:type="dxa"/>
            <w:gridSpan w:val="3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Name of Official inviting Tender</w:t>
            </w:r>
          </w:p>
        </w:tc>
        <w:tc>
          <w:tcPr>
            <w:tcW w:w="6750" w:type="dxa"/>
            <w:gridSpan w:val="4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Md.Latiful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Islam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 w:rsidRPr="00D64169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4</w:t>
            </w:r>
          </w:p>
        </w:tc>
        <w:tc>
          <w:tcPr>
            <w:tcW w:w="3567" w:type="dxa"/>
            <w:gridSpan w:val="3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Designation of Official inviting Tender</w:t>
            </w:r>
          </w:p>
        </w:tc>
        <w:tc>
          <w:tcPr>
            <w:tcW w:w="6750" w:type="dxa"/>
            <w:gridSpan w:val="4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Executive Engineer.</w:t>
            </w:r>
          </w:p>
        </w:tc>
      </w:tr>
      <w:tr w:rsidR="00053A98" w:rsidRPr="00BD26C4" w:rsidTr="00181EAB"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3567" w:type="dxa"/>
            <w:gridSpan w:val="3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Address of Official inviting  Tender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6750" w:type="dxa"/>
            <w:gridSpan w:val="4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PWD. Division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-2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Rajshahi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053A98" w:rsidRPr="00BD26C4" w:rsidTr="00181EAB">
        <w:trPr>
          <w:trHeight w:val="242"/>
        </w:trPr>
        <w:tc>
          <w:tcPr>
            <w:tcW w:w="393" w:type="dxa"/>
          </w:tcPr>
          <w:p w:rsidR="00053A98" w:rsidRPr="00D64169" w:rsidRDefault="00053A98" w:rsidP="00181EAB">
            <w:pPr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26</w:t>
            </w:r>
          </w:p>
        </w:tc>
        <w:tc>
          <w:tcPr>
            <w:tcW w:w="3567" w:type="dxa"/>
            <w:gridSpan w:val="3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Contact details of Official inviting Tender</w:t>
            </w:r>
          </w:p>
        </w:tc>
        <w:tc>
          <w:tcPr>
            <w:tcW w:w="6750" w:type="dxa"/>
            <w:gridSpan w:val="4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Phone-0721-812276, Fax-772279</w:t>
            </w:r>
            <w:proofErr w:type="gramStart"/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,E</w:t>
            </w:r>
            <w:proofErr w:type="gramEnd"/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-mail: </w:t>
            </w:r>
            <w:hyperlink r:id="rId4" w:history="1">
              <w:r w:rsidRPr="00F744E9">
                <w:rPr>
                  <w:sz w:val="18"/>
                  <w:szCs w:val="18"/>
                  <w:lang w:val="en-GB"/>
                </w:rPr>
                <w:t>ee_raj2@pwd.gov.bd</w:t>
              </w:r>
            </w:hyperlink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.</w:t>
            </w:r>
            <w:r w:rsidRPr="00AF0C4E"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ab/>
            </w:r>
          </w:p>
        </w:tc>
      </w:tr>
      <w:tr w:rsidR="00053A98" w:rsidRPr="00BD26C4" w:rsidTr="00181EAB">
        <w:trPr>
          <w:trHeight w:val="287"/>
        </w:trPr>
        <w:tc>
          <w:tcPr>
            <w:tcW w:w="393" w:type="dxa"/>
          </w:tcPr>
          <w:p w:rsidR="00053A98" w:rsidRDefault="00053A98" w:rsidP="00181EAB">
            <w:pPr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27</w:t>
            </w:r>
          </w:p>
        </w:tc>
        <w:tc>
          <w:tcPr>
            <w:tcW w:w="3567" w:type="dxa"/>
            <w:gridSpan w:val="3"/>
          </w:tcPr>
          <w:p w:rsidR="00053A98" w:rsidRPr="00AF0C4E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Downloding</w:t>
            </w:r>
            <w:proofErr w:type="spellEnd"/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 xml:space="preserve"> Tender Notice</w:t>
            </w:r>
          </w:p>
        </w:tc>
        <w:tc>
          <w:tcPr>
            <w:tcW w:w="6750" w:type="dxa"/>
            <w:gridSpan w:val="4"/>
          </w:tcPr>
          <w:p w:rsidR="00053A98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  <w:t>www.pwd.gov.bd</w:t>
            </w:r>
          </w:p>
        </w:tc>
      </w:tr>
      <w:tr w:rsidR="00053A98" w:rsidRPr="00BD26C4" w:rsidTr="00181EAB">
        <w:trPr>
          <w:trHeight w:val="242"/>
        </w:trPr>
        <w:tc>
          <w:tcPr>
            <w:tcW w:w="393" w:type="dxa"/>
          </w:tcPr>
          <w:p w:rsidR="00053A98" w:rsidRDefault="00053A98" w:rsidP="00181EAB">
            <w:pPr>
              <w:jc w:val="center"/>
              <w:rPr>
                <w:sz w:val="16"/>
                <w:szCs w:val="18"/>
                <w:lang w:eastAsia="zh-CN"/>
              </w:rPr>
            </w:pPr>
            <w:r>
              <w:rPr>
                <w:sz w:val="16"/>
                <w:szCs w:val="18"/>
                <w:lang w:eastAsia="zh-CN"/>
              </w:rPr>
              <w:t>28</w:t>
            </w:r>
          </w:p>
        </w:tc>
        <w:tc>
          <w:tcPr>
            <w:tcW w:w="10317" w:type="dxa"/>
            <w:gridSpan w:val="7"/>
          </w:tcPr>
          <w:p w:rsidR="00053A98" w:rsidRDefault="00053A98" w:rsidP="00181EAB">
            <w:pPr>
              <w:rPr>
                <w:rFonts w:ascii="Calibri" w:hAnsi="Calibri" w:cs="Calibri"/>
                <w:bCs/>
                <w:iCs/>
                <w:sz w:val="18"/>
                <w:szCs w:val="18"/>
                <w:lang w:val="en-GB"/>
              </w:rPr>
            </w:pPr>
            <w:r w:rsidRPr="00443C6B">
              <w:rPr>
                <w:rFonts w:ascii="Calibri" w:hAnsi="Calibri" w:cs="Calibri"/>
                <w:b/>
                <w:sz w:val="18"/>
                <w:szCs w:val="18"/>
              </w:rPr>
              <w:t>The Procuring Entity reserves the right 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accept or</w:t>
            </w:r>
            <w:r w:rsidRPr="00443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gramStart"/>
            <w:r w:rsidRPr="00443C6B">
              <w:rPr>
                <w:rFonts w:ascii="Calibri" w:hAnsi="Calibri" w:cs="Calibri"/>
                <w:b/>
                <w:sz w:val="18"/>
                <w:szCs w:val="18"/>
              </w:rPr>
              <w:t>reject  all</w:t>
            </w:r>
            <w:proofErr w:type="gramEnd"/>
            <w:r w:rsidRPr="00443C6B">
              <w:rPr>
                <w:rFonts w:ascii="Calibri" w:hAnsi="Calibri" w:cs="Calibri"/>
                <w:b/>
                <w:sz w:val="18"/>
                <w:szCs w:val="18"/>
              </w:rPr>
              <w:t xml:space="preserve"> the Tenders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</w:tbl>
    <w:p w:rsidR="00053A98" w:rsidRDefault="00053A98" w:rsidP="00053A98">
      <w:pPr>
        <w:ind w:left="7200"/>
        <w:jc w:val="center"/>
        <w:rPr>
          <w:b/>
          <w:bCs/>
          <w:sz w:val="16"/>
          <w:szCs w:val="16"/>
          <w:lang w:val="en-GB" w:eastAsia="zh-CN"/>
        </w:rPr>
      </w:pPr>
    </w:p>
    <w:p w:rsidR="00053A98" w:rsidRDefault="00053A98" w:rsidP="00053A98">
      <w:pPr>
        <w:ind w:left="7200"/>
        <w:jc w:val="center"/>
        <w:rPr>
          <w:b/>
          <w:bCs/>
          <w:sz w:val="16"/>
          <w:szCs w:val="16"/>
          <w:lang w:val="en-GB" w:eastAsia="zh-CN"/>
        </w:rPr>
      </w:pPr>
    </w:p>
    <w:p w:rsidR="00053A98" w:rsidRPr="00642CB3" w:rsidRDefault="00053A98" w:rsidP="00053A98">
      <w:pPr>
        <w:ind w:left="7200"/>
        <w:jc w:val="center"/>
        <w:rPr>
          <w:b/>
          <w:bCs/>
          <w:sz w:val="16"/>
          <w:szCs w:val="16"/>
          <w:lang w:val="en-GB" w:eastAsia="zh-CN"/>
        </w:rPr>
      </w:pPr>
      <w:r w:rsidRPr="00642CB3">
        <w:rPr>
          <w:b/>
          <w:bCs/>
          <w:sz w:val="16"/>
          <w:szCs w:val="16"/>
          <w:lang w:val="en-GB" w:eastAsia="zh-CN"/>
        </w:rPr>
        <w:t xml:space="preserve">(Md. </w:t>
      </w:r>
      <w:proofErr w:type="spellStart"/>
      <w:r w:rsidRPr="00642CB3">
        <w:rPr>
          <w:b/>
          <w:bCs/>
          <w:sz w:val="16"/>
          <w:szCs w:val="16"/>
          <w:lang w:val="en-GB" w:eastAsia="zh-CN"/>
        </w:rPr>
        <w:t>Latiful</w:t>
      </w:r>
      <w:proofErr w:type="spellEnd"/>
      <w:r w:rsidRPr="00642CB3">
        <w:rPr>
          <w:b/>
          <w:bCs/>
          <w:sz w:val="16"/>
          <w:szCs w:val="16"/>
          <w:lang w:val="en-GB" w:eastAsia="zh-CN"/>
        </w:rPr>
        <w:t xml:space="preserve"> Islam)</w:t>
      </w:r>
    </w:p>
    <w:p w:rsidR="00053A98" w:rsidRPr="002614AE" w:rsidRDefault="00053A98" w:rsidP="00053A98">
      <w:pPr>
        <w:ind w:left="7200"/>
        <w:jc w:val="center"/>
        <w:rPr>
          <w:sz w:val="16"/>
          <w:szCs w:val="16"/>
          <w:lang w:val="en-GB" w:eastAsia="zh-CN"/>
        </w:rPr>
      </w:pPr>
      <w:r w:rsidRPr="002614AE">
        <w:rPr>
          <w:sz w:val="16"/>
          <w:szCs w:val="16"/>
          <w:lang w:val="en-GB" w:eastAsia="zh-CN"/>
        </w:rPr>
        <w:t>Executive Engineer</w:t>
      </w:r>
    </w:p>
    <w:p w:rsidR="00053A98" w:rsidRPr="00AA48BD" w:rsidRDefault="00053A98" w:rsidP="00053A98">
      <w:pPr>
        <w:ind w:left="7200"/>
        <w:jc w:val="center"/>
        <w:rPr>
          <w:sz w:val="16"/>
          <w:szCs w:val="16"/>
          <w:lang w:val="en-GB" w:eastAsia="zh-CN"/>
        </w:rPr>
      </w:pPr>
      <w:r>
        <w:rPr>
          <w:sz w:val="16"/>
          <w:szCs w:val="16"/>
          <w:lang w:val="en-GB" w:eastAsia="zh-CN"/>
        </w:rPr>
        <w:t xml:space="preserve"> </w:t>
      </w:r>
      <w:proofErr w:type="gramStart"/>
      <w:r w:rsidRPr="002614AE">
        <w:rPr>
          <w:sz w:val="16"/>
          <w:szCs w:val="16"/>
          <w:lang w:val="en-GB" w:eastAsia="zh-CN"/>
        </w:rPr>
        <w:t>PWD</w:t>
      </w:r>
      <w:r>
        <w:rPr>
          <w:sz w:val="16"/>
          <w:szCs w:val="16"/>
          <w:lang w:val="en-GB" w:eastAsia="zh-CN"/>
        </w:rPr>
        <w:t>.</w:t>
      </w:r>
      <w:proofErr w:type="gramEnd"/>
      <w:r w:rsidRPr="002614AE">
        <w:rPr>
          <w:sz w:val="16"/>
          <w:szCs w:val="16"/>
          <w:lang w:val="en-GB" w:eastAsia="zh-CN"/>
        </w:rPr>
        <w:t xml:space="preserve"> </w:t>
      </w:r>
      <w:proofErr w:type="gramStart"/>
      <w:r w:rsidRPr="002614AE">
        <w:rPr>
          <w:sz w:val="16"/>
          <w:szCs w:val="16"/>
          <w:lang w:val="en-GB" w:eastAsia="zh-CN"/>
        </w:rPr>
        <w:t>Division</w:t>
      </w:r>
      <w:r>
        <w:rPr>
          <w:sz w:val="16"/>
          <w:szCs w:val="16"/>
          <w:lang w:val="en-GB" w:eastAsia="zh-CN"/>
        </w:rPr>
        <w:t>-2</w:t>
      </w:r>
      <w:r w:rsidRPr="002614AE">
        <w:rPr>
          <w:sz w:val="16"/>
          <w:szCs w:val="16"/>
          <w:lang w:val="en-GB" w:eastAsia="zh-CN"/>
        </w:rPr>
        <w:t xml:space="preserve">, </w:t>
      </w:r>
      <w:r>
        <w:rPr>
          <w:rFonts w:ascii="Calibri" w:hAnsi="Calibri" w:cs="Calibri"/>
          <w:bCs/>
          <w:iCs/>
          <w:sz w:val="18"/>
          <w:szCs w:val="18"/>
          <w:lang w:val="en-GB"/>
        </w:rPr>
        <w:t>Rajshahi</w:t>
      </w:r>
      <w:r w:rsidRPr="00AF0C4E">
        <w:rPr>
          <w:rFonts w:ascii="Calibri" w:hAnsi="Calibri" w:cs="Calibri"/>
          <w:bCs/>
          <w:iCs/>
          <w:sz w:val="18"/>
          <w:szCs w:val="18"/>
          <w:lang w:val="en-GB"/>
        </w:rPr>
        <w:t>.</w:t>
      </w:r>
      <w:proofErr w:type="gramEnd"/>
    </w:p>
    <w:p w:rsidR="00372D56" w:rsidRDefault="00372D56"/>
    <w:sectPr w:rsidR="00372D56" w:rsidSect="00053A9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o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A98"/>
    <w:rsid w:val="00053A98"/>
    <w:rsid w:val="00130A55"/>
    <w:rsid w:val="00372D56"/>
    <w:rsid w:val="005455FC"/>
    <w:rsid w:val="00D474B6"/>
    <w:rsid w:val="00F7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9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47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IN"/>
    </w:rPr>
  </w:style>
  <w:style w:type="paragraph" w:styleId="Heading2">
    <w:name w:val="heading 2"/>
    <w:basedOn w:val="Normal"/>
    <w:next w:val="Normal"/>
    <w:link w:val="Heading2Char"/>
    <w:unhideWhenUsed/>
    <w:qFormat/>
    <w:rsid w:val="00D47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IN"/>
    </w:rPr>
  </w:style>
  <w:style w:type="paragraph" w:styleId="Heading5">
    <w:name w:val="heading 5"/>
    <w:basedOn w:val="Normal"/>
    <w:next w:val="Normal"/>
    <w:link w:val="Heading5Char"/>
    <w:qFormat/>
    <w:rsid w:val="00053A98"/>
    <w:pPr>
      <w:keepNext/>
      <w:jc w:val="center"/>
      <w:outlineLvl w:val="4"/>
    </w:pPr>
    <w:rPr>
      <w:rFonts w:ascii="Bookman Old Style" w:eastAsia="SimSun" w:hAnsi="Bookman Old Style"/>
      <w:b/>
      <w:u w:val="double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474B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5Char">
    <w:name w:val="Heading 5 Char"/>
    <w:basedOn w:val="DefaultParagraphFont"/>
    <w:link w:val="Heading5"/>
    <w:rsid w:val="00053A98"/>
    <w:rPr>
      <w:rFonts w:ascii="Bookman Old Style" w:eastAsia="SimSun" w:hAnsi="Bookman Old Style"/>
      <w:b/>
      <w:sz w:val="24"/>
      <w:szCs w:val="24"/>
      <w:u w:val="double"/>
      <w:lang w:val="en-GB" w:eastAsia="zh-CN" w:bidi="ar-SA"/>
    </w:rPr>
  </w:style>
  <w:style w:type="paragraph" w:styleId="BodyText3">
    <w:name w:val="Body Text 3"/>
    <w:basedOn w:val="Normal"/>
    <w:link w:val="BodyText3Char"/>
    <w:rsid w:val="00053A98"/>
    <w:rPr>
      <w:rFonts w:ascii="Saroda" w:hAnsi="Saroda"/>
      <w:szCs w:val="20"/>
    </w:rPr>
  </w:style>
  <w:style w:type="character" w:customStyle="1" w:styleId="BodyText3Char">
    <w:name w:val="Body Text 3 Char"/>
    <w:basedOn w:val="DefaultParagraphFont"/>
    <w:link w:val="BodyText3"/>
    <w:rsid w:val="00053A98"/>
    <w:rPr>
      <w:rFonts w:ascii="Saroda" w:hAnsi="Saroda"/>
      <w:sz w:val="24"/>
      <w:lang w:bidi="ar-SA"/>
    </w:rPr>
  </w:style>
  <w:style w:type="paragraph" w:styleId="NoSpacing">
    <w:name w:val="No Spacing"/>
    <w:qFormat/>
    <w:rsid w:val="00053A98"/>
    <w:rPr>
      <w:rFonts w:ascii="SutonnyMJ" w:eastAsia="Calibri" w:hAnsi="SutonnyMJ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_raj2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2015-12-30T12:12:00Z</dcterms:created>
  <dcterms:modified xsi:type="dcterms:W3CDTF">2015-12-30T12:14:00Z</dcterms:modified>
</cp:coreProperties>
</file>